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5413538</wp:posOffset>
            </wp:positionH>
            <wp:positionV relativeFrom="margin">
              <wp:posOffset>-228596</wp:posOffset>
            </wp:positionV>
            <wp:extent cx="995680" cy="871855"/>
            <wp:effectExtent b="0" l="0" r="0" t="0"/>
            <wp:wrapSquare wrapText="bothSides" distB="0" distT="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871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-209547</wp:posOffset>
            </wp:positionH>
            <wp:positionV relativeFrom="paragraph">
              <wp:posOffset>0</wp:posOffset>
            </wp:positionV>
            <wp:extent cx="4295775" cy="648335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48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Poppins" w:cs="Poppins" w:eastAsia="Poppins" w:hAnsi="Poppins"/>
          <w:b w:val="1"/>
          <w:sz w:val="36"/>
          <w:szCs w:val="36"/>
        </w:rPr>
      </w:pPr>
      <w:r w:rsidDel="00000000" w:rsidR="00000000" w:rsidRPr="00000000">
        <w:rPr>
          <w:rFonts w:ascii="Poppins" w:cs="Poppins" w:eastAsia="Poppins" w:hAnsi="Poppins"/>
          <w:b w:val="1"/>
          <w:sz w:val="36"/>
          <w:szCs w:val="36"/>
          <w:rtl w:val="0"/>
        </w:rPr>
        <w:t xml:space="preserve">CENTRE FOR TEACHING AND LEARNING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18"/>
        <w:gridCol w:w="7092"/>
        <w:tblGridChange w:id="0">
          <w:tblGrid>
            <w:gridCol w:w="2718"/>
            <w:gridCol w:w="7092"/>
          </w:tblGrid>
        </w:tblGridChange>
      </w:tblGrid>
      <w:tr>
        <w:trPr>
          <w:cantSplit w:val="0"/>
          <w:trHeight w:val="71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REPORT ON </w:t>
            </w:r>
          </w:p>
        </w:tc>
      </w:tr>
      <w:tr>
        <w:trPr>
          <w:cantSplit w:val="0"/>
          <w:trHeight w:val="7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Title: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EXPERT FDP WEBINAR SERIES - VI</w:t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Date and year: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April, 2021 (Thursday)</w:t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Venue: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GMEET</w:t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Resource person/s: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Dr.R.C.Sharma, Associate Professor Instructional Design &amp; Educational Technology, Ambedkar University, New Delhi</w:t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Organising Committee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Center for Teaching Learning</w:t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No. of Participants: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</w:tc>
      </w:tr>
      <w:tr>
        <w:trPr>
          <w:cantSplit w:val="0"/>
          <w:trHeight w:val="10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Objective: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Perspectives of NEP 2020 : Technology in Education</w:t>
            </w:r>
          </w:p>
          <w:p w:rsidR="00000000" w:rsidDel="00000000" w:rsidP="00000000" w:rsidRDefault="00000000" w:rsidRPr="00000000" w14:paraId="0000001A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Summary of the proceedings: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Cambria" w:cs="Cambria" w:eastAsia="Cambria" w:hAnsi="Cambri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The Session began by Welcome by Dr.Sameena Falleiro followed by the Offg.Principal Dr.Shaila Ghanti giving the introductory address. Dr.Sameena then introduced the Resource Person who then delivered his talk. 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Cambria" w:cs="Cambria" w:eastAsia="Cambria" w:hAnsi="Cambri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The following are the various areas of NEP 2020 that he highlighted in his presentation: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Life Long Self Directed Learners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Knowledge Seekers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Competence; Comprehension and Cognitive Flexibility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Digital Learning &amp; Evaluation Ecosystem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Learning Paths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Efficacy of Instruction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This FDP focussed on certain terminologies/annotations used in the NEP; It also focussed on Learning Paths and Competencies so that Faculty can use techniques in teaching, learning and evaluation so that we can create students who are self-directed lifelong learners.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22222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Cambria" w:cs="Cambria" w:eastAsia="Cambria" w:hAnsi="Cambri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Cambria" w:cs="Cambria" w:eastAsia="Cambria" w:hAnsi="Cambri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This was followed by a Q n A.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Cambria" w:cs="Cambria" w:eastAsia="Cambria" w:hAnsi="Cambri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24"/>
                <w:szCs w:val="24"/>
                <w:rtl w:val="0"/>
              </w:rPr>
              <w:t xml:space="preserve">The webinar ended with a Vote of Thanks given by the HOD of Computer Science Mrs.Suchitra Bhat.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Cambria" w:cs="Cambria" w:eastAsia="Cambria" w:hAnsi="Cambri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Photographs:</w:t>
            </w:r>
          </w:p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/>
              <w:drawing>
                <wp:inline distB="0" distT="0" distL="0" distR="0">
                  <wp:extent cx="5731510" cy="3223895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/>
              <w:drawing>
                <wp:inline distB="0" distT="0" distL="0" distR="0">
                  <wp:extent cx="5731510" cy="3223895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Cambria" w:cs="Cambria" w:eastAsia="Cambria" w:hAnsi="Cambria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/>
              <w:drawing>
                <wp:inline distB="0" distT="0" distL="0" distR="0">
                  <wp:extent cx="5731510" cy="3223895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Cambria" w:cs="Cambria" w:eastAsia="Cambria" w:hAnsi="Cambria"/>
                <w:color w:val="000000"/>
                <w:sz w:val="24"/>
                <w:szCs w:val="24"/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                </w:t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                                                                                   Report Prepared by: Dr.(Ms).Sameena Falleiro</w:t>
            </w:r>
          </w:p>
          <w:p w:rsidR="00000000" w:rsidDel="00000000" w:rsidP="00000000" w:rsidRDefault="00000000" w:rsidRPr="00000000" w14:paraId="00000038">
            <w:pPr>
              <w:spacing w:after="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Centre Director-CTL</w:t>
            </w:r>
          </w:p>
        </w:tc>
      </w:tr>
    </w:tbl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Times New Roman"/>
  <w:font w:name="Courier New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